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eastAsia"/>
          <w:lang w:val="en-US" w:eastAsia="zh-CN"/>
        </w:rPr>
      </w:pPr>
      <w:r>
        <w:rPr>
          <w:rFonts w:hint="eastAsia"/>
          <w:lang w:val="en-US" w:eastAsia="zh-CN"/>
        </w:rPr>
        <w:t>西苏格兰大学访学报告</w:t>
      </w:r>
    </w:p>
    <w:p>
      <w:pPr>
        <w:spacing w:line="360" w:lineRule="auto"/>
        <w:jc w:val="center"/>
        <w:rPr>
          <w:rFonts w:hint="eastAsia"/>
          <w:sz w:val="24"/>
          <w:szCs w:val="24"/>
          <w:lang w:val="en-US" w:eastAsia="zh-CN"/>
        </w:rPr>
      </w:pPr>
      <w:r>
        <w:rPr>
          <w:rFonts w:hint="eastAsia"/>
          <w:sz w:val="24"/>
          <w:szCs w:val="24"/>
          <w:lang w:val="en-US" w:eastAsia="zh-CN"/>
        </w:rPr>
        <w:t>土木学院 刘卉</w:t>
      </w:r>
    </w:p>
    <w:p>
      <w:pPr>
        <w:spacing w:line="360" w:lineRule="auto"/>
        <w:jc w:val="center"/>
        <w:rPr>
          <w:rFonts w:hint="default"/>
          <w:sz w:val="24"/>
          <w:szCs w:val="24"/>
          <w:lang w:val="en-US" w:eastAsia="zh-CN"/>
        </w:rPr>
      </w:pPr>
      <w:r>
        <w:rPr>
          <w:rFonts w:hint="eastAsia"/>
          <w:sz w:val="24"/>
          <w:szCs w:val="24"/>
          <w:lang w:val="en-US" w:eastAsia="zh-CN"/>
        </w:rPr>
        <w:t>2020.9.14</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在学校和领导的支持下，我在2020年1月到6月期间，完成了在英国西苏格兰大学的访学交流。读万卷书，行万里路。在这6个月内，不论是在学术研究上，还是生活阅历上，我都收获颇丰。现对我在西苏格兰大学访学期间的收获做以下汇报。</w:t>
      </w:r>
    </w:p>
    <w:p>
      <w:pPr>
        <w:keepNext w:val="0"/>
        <w:keepLines w:val="0"/>
        <w:pageBreakBefore w:val="0"/>
        <w:widowControl w:val="0"/>
        <w:numPr>
          <w:ilvl w:val="0"/>
          <w:numId w:val="0"/>
        </w:numPr>
        <w:kinsoku/>
        <w:wordWrap/>
        <w:overflowPunct/>
        <w:topLinePunct w:val="0"/>
        <w:autoSpaceDE/>
        <w:autoSpaceDN/>
        <w:bidi w:val="0"/>
        <w:adjustRightInd/>
        <w:snapToGrid/>
        <w:spacing w:after="300"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一.课程的学习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选修了三门课程：</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 xml:space="preserve">《CONSTRUCTION &amp; STRUCTURAL ENGINEERING 2 》是为大三学生开设的专业课程，课程内容包括结构分析、砌体墙设计和一项课程设计——钢结构建筑的设计。  </w:t>
      </w:r>
    </w:p>
    <w:p>
      <w:pPr>
        <w:pStyle w:val="10"/>
        <w:keepNext w:val="0"/>
        <w:keepLines w:val="0"/>
        <w:pageBreakBefore w:val="0"/>
        <w:widowControl w:val="0"/>
        <w:kinsoku/>
        <w:wordWrap/>
        <w:overflowPunct/>
        <w:topLinePunct w:val="0"/>
        <w:autoSpaceDE/>
        <w:autoSpaceDN/>
        <w:bidi w:val="0"/>
        <w:adjustRightInd/>
        <w:snapToGrid/>
        <w:spacing w:beforeLines="0" w:afterLines="0" w:line="360" w:lineRule="auto"/>
        <w:ind w:firstLine="480" w:firstLineChars="200"/>
        <w:textAlignment w:val="auto"/>
        <w:rPr>
          <w:rFonts w:hint="eastAsia" w:ascii="宋体" w:hAnsi="宋体" w:eastAsia="宋体" w:cs="宋体"/>
          <w:b w:val="0"/>
          <w:kern w:val="2"/>
          <w:sz w:val="24"/>
          <w:szCs w:val="24"/>
          <w:lang w:val="en-US" w:eastAsia="zh-CN" w:bidi="ar-SA"/>
        </w:rPr>
      </w:pPr>
      <w:r>
        <w:rPr>
          <w:rFonts w:hint="eastAsia" w:ascii="宋体" w:hAnsi="宋体" w:eastAsia="宋体" w:cs="宋体"/>
          <w:b w:val="0"/>
          <w:kern w:val="2"/>
          <w:sz w:val="24"/>
          <w:szCs w:val="24"/>
          <w:lang w:val="en-US" w:eastAsia="zh-CN" w:bidi="ar-SA"/>
        </w:rPr>
        <w:t>结构分析包括用虚功位移和实攻位移解决构件内力计算问题。砌体结构设计包括轴心受压砌体承载力计算，和水平荷载作用下砌体承载力计算。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钢结构建筑的设计，是一项课后完成的内容。该作业旨在评估学生在以下领域的发展，和对知识的理解、运用能力：(A)基本理论以及与钢结构相关要素的设计和分析方法；（</w:t>
      </w:r>
      <w:r>
        <w:rPr>
          <w:rFonts w:hint="eastAsia" w:ascii="宋体" w:hAnsi="宋体" w:eastAsia="宋体" w:cs="宋体"/>
          <w:sz w:val="24"/>
          <w:szCs w:val="24"/>
          <w:lang w:val="en-US" w:eastAsia="zh-CN"/>
        </w:rPr>
        <w:t>B</w:t>
      </w:r>
      <w:r>
        <w:rPr>
          <w:rFonts w:hint="eastAsia" w:ascii="宋体" w:hAnsi="宋体" w:eastAsia="宋体" w:cs="宋体"/>
          <w:sz w:val="24"/>
          <w:szCs w:val="24"/>
          <w:lang w:eastAsia="zh-CN"/>
        </w:rPr>
        <w:t>)基础理论和方法在工程问题中的应用；（</w:t>
      </w:r>
      <w:r>
        <w:rPr>
          <w:rFonts w:hint="eastAsia" w:ascii="宋体" w:hAnsi="宋体" w:eastAsia="宋体" w:cs="宋体"/>
          <w:sz w:val="24"/>
          <w:szCs w:val="24"/>
          <w:lang w:val="en-US" w:eastAsia="zh-CN"/>
        </w:rPr>
        <w:t>C</w:t>
      </w:r>
      <w:r>
        <w:rPr>
          <w:rFonts w:hint="eastAsia" w:ascii="宋体" w:hAnsi="宋体" w:eastAsia="宋体" w:cs="宋体"/>
          <w:sz w:val="24"/>
          <w:szCs w:val="24"/>
          <w:lang w:eastAsia="zh-CN"/>
        </w:rPr>
        <w:t>)分析和解释现代结构工程中，设计主题的选择方法；（</w:t>
      </w:r>
      <w:r>
        <w:rPr>
          <w:rFonts w:hint="eastAsia" w:ascii="宋体" w:hAnsi="宋体" w:eastAsia="宋体" w:cs="宋体"/>
          <w:sz w:val="24"/>
          <w:szCs w:val="24"/>
          <w:lang w:val="en-US" w:eastAsia="zh-CN"/>
        </w:rPr>
        <w:t>D</w:t>
      </w:r>
      <w:r>
        <w:rPr>
          <w:rFonts w:hint="eastAsia" w:ascii="宋体" w:hAnsi="宋体" w:eastAsia="宋体" w:cs="宋体"/>
          <w:sz w:val="24"/>
          <w:szCs w:val="24"/>
          <w:lang w:eastAsia="zh-CN"/>
        </w:rPr>
        <w:t>)学会解释基础理论和方法；（</w:t>
      </w:r>
      <w:r>
        <w:rPr>
          <w:rFonts w:hint="eastAsia" w:ascii="宋体" w:hAnsi="宋体" w:eastAsia="宋体" w:cs="宋体"/>
          <w:sz w:val="24"/>
          <w:szCs w:val="24"/>
          <w:lang w:val="en-US" w:eastAsia="zh-CN"/>
        </w:rPr>
        <w:t>E</w:t>
      </w:r>
      <w:r>
        <w:rPr>
          <w:rFonts w:hint="eastAsia" w:ascii="宋体" w:hAnsi="宋体" w:eastAsia="宋体" w:cs="宋体"/>
          <w:sz w:val="24"/>
          <w:szCs w:val="24"/>
          <w:lang w:eastAsia="zh-CN"/>
        </w:rPr>
        <w:t>)掌握自学方法，学会管理时间和资料，以实现所需的目标。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《ADVANCED CONSTRUCTION MATERIALS》课程是针对在职工程师培训的一门课程。主要内容包括：先进建筑材料的介绍，自密实混凝土</w:t>
      </w:r>
      <w:r>
        <w:rPr>
          <w:rFonts w:hint="eastAsia" w:ascii="宋体" w:hAnsi="宋体" w:eastAsia="宋体" w:cs="宋体"/>
          <w:sz w:val="24"/>
          <w:szCs w:val="24"/>
          <w:lang w:eastAsia="zh-CN"/>
        </w:rPr>
        <w:t>，纤维混凝土</w:t>
      </w:r>
      <w:r>
        <w:rPr>
          <w:rFonts w:hint="eastAsia" w:ascii="宋体" w:hAnsi="宋体" w:eastAsia="宋体" w:cs="宋体"/>
          <w:sz w:val="24"/>
          <w:szCs w:val="24"/>
        </w:rPr>
        <w:t xml:space="preserve">, </w:t>
      </w:r>
      <w:r>
        <w:rPr>
          <w:rFonts w:hint="eastAsia" w:ascii="宋体" w:hAnsi="宋体" w:eastAsia="宋体" w:cs="宋体"/>
          <w:sz w:val="24"/>
          <w:szCs w:val="24"/>
          <w:lang w:eastAsia="zh-CN"/>
        </w:rPr>
        <w:t>高强</w:t>
      </w:r>
      <w:r>
        <w:rPr>
          <w:rFonts w:hint="eastAsia" w:ascii="宋体" w:hAnsi="宋体" w:eastAsia="宋体" w:cs="宋体"/>
          <w:sz w:val="24"/>
          <w:szCs w:val="24"/>
          <w:lang w:val="en-US" w:eastAsia="zh-CN"/>
        </w:rPr>
        <w:t>/超高强混凝土</w:t>
      </w:r>
      <w:r>
        <w:rPr>
          <w:rFonts w:hint="eastAsia" w:ascii="宋体" w:hAnsi="宋体" w:eastAsia="宋体" w:cs="宋体"/>
          <w:sz w:val="24"/>
          <w:szCs w:val="24"/>
          <w:lang w:eastAsia="zh-CN"/>
        </w:rPr>
        <w:t>，回收骨料混凝土；混凝土的稳定性、耐久性；</w:t>
      </w:r>
      <w:r>
        <w:rPr>
          <w:rFonts w:hint="eastAsia" w:ascii="宋体" w:hAnsi="宋体" w:eastAsia="宋体" w:cs="宋体"/>
          <w:sz w:val="24"/>
          <w:szCs w:val="24"/>
        </w:rPr>
        <w:t xml:space="preserve"> </w:t>
      </w:r>
      <w:r>
        <w:rPr>
          <w:rFonts w:hint="eastAsia" w:ascii="宋体" w:hAnsi="宋体" w:eastAsia="宋体" w:cs="宋体"/>
          <w:sz w:val="24"/>
          <w:szCs w:val="24"/>
          <w:lang w:eastAsia="zh-CN"/>
        </w:rPr>
        <w:t>基于功能的设计；</w:t>
      </w:r>
      <w:r>
        <w:rPr>
          <w:rFonts w:hint="eastAsia" w:ascii="宋体" w:hAnsi="宋体" w:eastAsia="宋体" w:cs="宋体"/>
          <w:sz w:val="24"/>
          <w:szCs w:val="24"/>
        </w:rPr>
        <w:t xml:space="preserve"> </w:t>
      </w:r>
      <w:r>
        <w:rPr>
          <w:rFonts w:hint="eastAsia" w:ascii="宋体" w:hAnsi="宋体" w:eastAsia="宋体" w:cs="宋体"/>
          <w:sz w:val="24"/>
          <w:szCs w:val="24"/>
          <w:lang w:eastAsia="zh-CN"/>
        </w:rPr>
        <w:t>建筑的的可持续性；纳米技术在建筑材料中的应用（混凝土，钢，涂料，保温材料等）</w:t>
      </w:r>
      <w:r>
        <w:rPr>
          <w:rFonts w:hint="eastAsia" w:ascii="宋体" w:hAnsi="宋体" w:eastAsia="宋体" w:cs="宋体"/>
          <w:sz w:val="24"/>
          <w:szCs w:val="24"/>
        </w:rPr>
        <w:t xml:space="preserve"> </w:t>
      </w:r>
      <w:r>
        <w:rPr>
          <w:rFonts w:hint="eastAsia" w:ascii="宋体" w:hAnsi="宋体" w:eastAsia="宋体" w:cs="宋体"/>
          <w:sz w:val="24"/>
          <w:szCs w:val="24"/>
          <w:lang w:eastAsia="zh-CN"/>
        </w:rPr>
        <w:t>，以及和资源、环境、可持续发展有关的问题。成绩构成为</w:t>
      </w:r>
      <w:r>
        <w:rPr>
          <w:rFonts w:hint="eastAsia" w:ascii="宋体" w:hAnsi="宋体" w:eastAsia="宋体" w:cs="宋体"/>
          <w:sz w:val="24"/>
          <w:szCs w:val="24"/>
        </w:rPr>
        <w:t>40%的</w:t>
      </w:r>
      <w:r>
        <w:rPr>
          <w:rFonts w:hint="eastAsia" w:ascii="宋体" w:hAnsi="宋体" w:eastAsia="宋体" w:cs="宋体"/>
          <w:sz w:val="24"/>
          <w:szCs w:val="24"/>
          <w:lang w:eastAsia="zh-CN"/>
        </w:rPr>
        <w:t>平时成绩</w:t>
      </w:r>
      <w:r>
        <w:rPr>
          <w:rFonts w:hint="eastAsia" w:ascii="宋体" w:hAnsi="宋体" w:eastAsia="宋体" w:cs="宋体"/>
          <w:sz w:val="24"/>
          <w:szCs w:val="24"/>
        </w:rPr>
        <w:t>和60%的考试</w:t>
      </w:r>
      <w:r>
        <w:rPr>
          <w:rFonts w:hint="eastAsia" w:ascii="宋体" w:hAnsi="宋体" w:eastAsia="宋体" w:cs="宋体"/>
          <w:sz w:val="24"/>
          <w:szCs w:val="24"/>
          <w:lang w:eastAsia="zh-CN"/>
        </w:rPr>
        <w:t>成绩</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课程还包括三次试验：传统混凝土、再生骨料混凝土和SCC的搅拌和测试；石灰砂浆制备的实际演示，包括石灰的熟化，石灰砂浆试件的制备；普通砂浆和纤维增强砂浆的混合和铸造，以及14天的强度测试。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一次实地调查砂岩建筑状况测量。评估、认定和修复计划。此次调查是选取佩斯利镇任意古建筑，对其进行调查测量和评定。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17345" cy="1829435"/>
            <wp:effectExtent l="0" t="0" r="1905" b="18415"/>
            <wp:docPr id="6" name="图片 6" descr="18301915023240864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8301915023240864841"/>
                    <pic:cNvPicPr>
                      <a:picLocks noChangeAspect="1"/>
                    </pic:cNvPicPr>
                  </pic:nvPicPr>
                  <pic:blipFill>
                    <a:blip r:embed="rId5"/>
                    <a:srcRect l="7382" b="21434"/>
                    <a:stretch>
                      <a:fillRect/>
                    </a:stretch>
                  </pic:blipFill>
                  <pic:spPr>
                    <a:xfrm>
                      <a:off x="0" y="0"/>
                      <a:ext cx="1617345" cy="182943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811655" cy="1830705"/>
            <wp:effectExtent l="0" t="0" r="17145" b="17145"/>
            <wp:docPr id="1" name="图片 1" descr="9723196245691702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723196245691702652"/>
                    <pic:cNvPicPr>
                      <a:picLocks noChangeAspect="1"/>
                    </pic:cNvPicPr>
                  </pic:nvPicPr>
                  <pic:blipFill>
                    <a:blip r:embed="rId6"/>
                    <a:srcRect b="24246"/>
                    <a:stretch>
                      <a:fillRect/>
                    </a:stretch>
                  </pic:blipFill>
                  <pic:spPr>
                    <a:xfrm>
                      <a:off x="0" y="0"/>
                      <a:ext cx="1811655" cy="183070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515110" cy="1245235"/>
            <wp:effectExtent l="0" t="0" r="8890" b="12065"/>
            <wp:docPr id="10" name="图片 10" descr="C:/Users/ADMINI~1/AppData/Local/Temp/picturescale_20200911121636/output_20200911121637.jpgoutput_2020091112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1/AppData/Local/Temp/picturescale_20200911121636/output_20200911121637.jpgoutput_20200911121637"/>
                    <pic:cNvPicPr>
                      <a:picLocks noChangeAspect="1"/>
                    </pic:cNvPicPr>
                  </pic:nvPicPr>
                  <pic:blipFill>
                    <a:blip r:embed="rId7"/>
                    <a:stretch>
                      <a:fillRect/>
                    </a:stretch>
                  </pic:blipFill>
                  <pic:spPr>
                    <a:xfrm>
                      <a:off x="0" y="0"/>
                      <a:ext cx="1515110" cy="124523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混凝土圆柱体劈裂试验  自密实混凝土流动性试验     棱柱体抗压强度试验 </w:t>
      </w:r>
      <w:r>
        <w:rPr>
          <w:rFonts w:hint="eastAsia" w:ascii="宋体" w:hAnsi="宋体" w:eastAsia="宋体" w:cs="宋体"/>
          <w:sz w:val="24"/>
          <w:szCs w:val="24"/>
          <w:lang w:val="en-US" w:eastAsia="zh-CN"/>
        </w:rPr>
        <w:drawing>
          <wp:inline distT="0" distB="0" distL="114300" distR="114300">
            <wp:extent cx="2023745" cy="1751965"/>
            <wp:effectExtent l="0" t="0" r="14605" b="635"/>
            <wp:docPr id="7" name="图片 7" descr="99162663587166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9916266358716694184"/>
                    <pic:cNvPicPr>
                      <a:picLocks noChangeAspect="1"/>
                    </pic:cNvPicPr>
                  </pic:nvPicPr>
                  <pic:blipFill>
                    <a:blip r:embed="rId8"/>
                    <a:srcRect b="35090"/>
                    <a:stretch>
                      <a:fillRect/>
                    </a:stretch>
                  </pic:blipFill>
                  <pic:spPr>
                    <a:xfrm>
                      <a:off x="0" y="0"/>
                      <a:ext cx="2023745" cy="1751965"/>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2300605" cy="1725930"/>
            <wp:effectExtent l="0" t="0" r="4445" b="7620"/>
            <wp:docPr id="9" name="图片 9" descr="18108126003853262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8108126003853262727"/>
                    <pic:cNvPicPr>
                      <a:picLocks noChangeAspect="1"/>
                    </pic:cNvPicPr>
                  </pic:nvPicPr>
                  <pic:blipFill>
                    <a:blip r:embed="rId9"/>
                    <a:stretch>
                      <a:fillRect/>
                    </a:stretch>
                  </pic:blipFill>
                  <pic:spPr>
                    <a:xfrm>
                      <a:off x="0" y="0"/>
                      <a:ext cx="2300605" cy="17259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720" w:firstLineChars="30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xml:space="preserve">混凝土圆柱体劈裂试验装置         </w:t>
      </w:r>
      <w:r>
        <w:rPr>
          <w:rFonts w:hint="eastAsia" w:ascii="宋体" w:hAnsi="宋体" w:eastAsia="宋体" w:cs="宋体"/>
          <w:sz w:val="24"/>
          <w:szCs w:val="24"/>
          <w:lang w:eastAsia="zh-CN"/>
        </w:rPr>
        <w:t>纤维增强砂浆试验结果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266315" cy="1700530"/>
            <wp:effectExtent l="0" t="0" r="635" b="13970"/>
            <wp:docPr id="2" name="图片 2" descr="142939270029306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429392700293061738"/>
                    <pic:cNvPicPr>
                      <a:picLocks noChangeAspect="1"/>
                    </pic:cNvPicPr>
                  </pic:nvPicPr>
                  <pic:blipFill>
                    <a:blip r:embed="rId10"/>
                    <a:stretch>
                      <a:fillRect/>
                    </a:stretch>
                  </pic:blipFill>
                  <pic:spPr>
                    <a:xfrm>
                      <a:off x="0" y="0"/>
                      <a:ext cx="2266315" cy="17005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40" w:firstLineChars="100"/>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与实验室老师们的合影</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《RESEARCH DESIGN&amp; METHODS》，这门课是针对研究生一年级的学生开设的，课程目标是介绍学术研究方法，提供相关思维方式和一些经验（包括批判性评价技能）。介绍并支持学生了解导师们的在研项目。培养学生批判性地评估、确定和使用适合其学科的研究方法，回顾和评估他们学科领域的学术和研究文献中的论点、研究方法、证据和结论，为研究生研究项目构建合适的研究设计方案。</w:t>
      </w:r>
    </w:p>
    <w:p>
      <w:pPr>
        <w:keepNext w:val="0"/>
        <w:keepLines w:val="0"/>
        <w:pageBreakBefore w:val="0"/>
        <w:widowControl w:val="0"/>
        <w:numPr>
          <w:ilvl w:val="0"/>
          <w:numId w:val="0"/>
        </w:numPr>
        <w:kinsoku/>
        <w:wordWrap/>
        <w:overflowPunct/>
        <w:topLinePunct w:val="0"/>
        <w:autoSpaceDE/>
        <w:autoSpaceDN/>
        <w:bidi w:val="0"/>
        <w:adjustRightInd/>
        <w:snapToGrid/>
        <w:spacing w:after="300" w:line="360" w:lineRule="auto"/>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二.助课力学实验</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sz w:val="24"/>
          <w:szCs w:val="24"/>
          <w:lang w:val="en-US" w:eastAsia="zh-CN"/>
        </w:rPr>
        <w:t>对《工程力学》实验课程，进行了助课，负责对学生试验过程中出现的问题进行指导。</w:t>
      </w:r>
    </w:p>
    <w:p>
      <w:pPr>
        <w:keepNext w:val="0"/>
        <w:keepLines w:val="0"/>
        <w:widowControl/>
        <w:suppressLineNumbers w:val="0"/>
        <w:spacing w:line="360" w:lineRule="auto"/>
        <w:ind w:firstLine="480" w:firstLineChars="200"/>
        <w:jc w:val="left"/>
        <w:rPr>
          <w:sz w:val="24"/>
          <w:szCs w:val="24"/>
        </w:rPr>
      </w:pPr>
      <w:r>
        <w:rPr>
          <w:rFonts w:hint="eastAsia" w:ascii="宋体" w:hAnsi="宋体" w:eastAsia="宋体" w:cs="宋体"/>
          <w:sz w:val="24"/>
          <w:szCs w:val="24"/>
          <w:lang w:val="en-US" w:eastAsia="zh-CN"/>
        </w:rPr>
        <w:t>第一次力学实验的内容是质心的确定。通过三种方法确定各种形状的质心：实验方法、图形方法和理论计算方法。第二次实验是处理一组静态力的平衡，理解分力的总和的概念。分别采用了实验方法、图形方法和理论计算方法。第三次实验是力的角度和分解。</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2429510" cy="1137285"/>
            <wp:effectExtent l="0" t="0" r="8890" b="5715"/>
            <wp:docPr id="11" name="图片 11" descr="C:/Users/ADMINI~1/AppData/Local/Temp/picturescale_20200911121649/output_20200911121650.jpgoutput_20200911121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1/AppData/Local/Temp/picturescale_20200911121649/output_20200911121650.jpgoutput_20200911121650"/>
                    <pic:cNvPicPr>
                      <a:picLocks noChangeAspect="1"/>
                    </pic:cNvPicPr>
                  </pic:nvPicPr>
                  <pic:blipFill>
                    <a:blip r:embed="rId11"/>
                    <a:stretch>
                      <a:fillRect/>
                    </a:stretch>
                  </pic:blipFill>
                  <pic:spPr>
                    <a:xfrm>
                      <a:off x="0" y="0"/>
                      <a:ext cx="2429510" cy="11372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助课过程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三.教研方面</w:t>
      </w:r>
    </w:p>
    <w:p>
      <w:pPr>
        <w:pStyle w:val="4"/>
        <w:bidi w:val="0"/>
        <w:rPr>
          <w:rFonts w:hint="eastAsia" w:ascii="宋体" w:hAnsi="宋体" w:eastAsia="宋体" w:cs="宋体"/>
          <w:b w:val="0"/>
          <w:kern w:val="2"/>
          <w:sz w:val="24"/>
          <w:szCs w:val="24"/>
          <w:lang w:val="en-US" w:eastAsia="zh-CN" w:bidi="ar-SA"/>
        </w:rPr>
      </w:pPr>
      <w:r>
        <w:rPr>
          <w:rFonts w:hint="eastAsia" w:ascii="宋体" w:hAnsi="宋体" w:eastAsia="宋体" w:cs="宋体"/>
          <w:sz w:val="24"/>
          <w:szCs w:val="24"/>
          <w:lang w:val="en-US" w:eastAsia="zh-CN"/>
        </w:rPr>
        <w:t xml:space="preserve"> </w:t>
      </w:r>
      <w:r>
        <w:rPr>
          <w:rFonts w:hint="eastAsia" w:ascii="宋体" w:hAnsi="宋体" w:eastAsia="宋体" w:cs="宋体"/>
          <w:b w:val="0"/>
          <w:kern w:val="2"/>
          <w:sz w:val="24"/>
          <w:szCs w:val="24"/>
          <w:lang w:val="en-US" w:eastAsia="zh-CN" w:bidi="ar-SA"/>
        </w:rPr>
        <w:t>1.“互联网+课堂” 混合教学模式的调研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360" w:lineRule="auto"/>
        <w:ind w:right="0" w:firstLine="480" w:firstLineChars="200"/>
        <w:jc w:val="left"/>
        <w:rPr>
          <w:rFonts w:hint="eastAsia" w:cs="宋体"/>
          <w:b w:val="0"/>
          <w:kern w:val="2"/>
          <w:sz w:val="24"/>
          <w:szCs w:val="24"/>
          <w:lang w:val="en-US" w:eastAsia="zh-CN" w:bidi="ar-SA"/>
        </w:rPr>
      </w:pPr>
      <w:r>
        <w:rPr>
          <w:rFonts w:hint="eastAsia" w:ascii="宋体" w:hAnsi="宋体" w:eastAsia="宋体" w:cs="宋体"/>
          <w:b w:val="0"/>
          <w:kern w:val="2"/>
          <w:sz w:val="24"/>
          <w:szCs w:val="24"/>
          <w:lang w:val="en-US" w:eastAsia="zh-CN" w:bidi="ar-SA"/>
        </w:rPr>
        <w:t>首先，在教学平台建设方面，UWS将学生选课、教师教室及课程安排、教师上传的学习资料都集成在一个平台上，系统清晰、脉络分明。在西苏就读的学生都会有一个注册账号及密码。这个账号可以登录任何相关设备，例如图书馆的打印机、图书馆借书等，同时可以登录个人学习模块“moodle”。该学习模块是老师和学生进行线上教学的渠道，也是学生和老师课外沟通的渠道。在老师方：学期初，学生通过选课加入课程组，老师在课程组中可以看到每位选该门课程的学生，并对其进行分组，为后期实践课程分组做准备；并在每一节课前上传教学资料，包括本节课程的课件，希望学生拓展的知识，相关网页链接和相关资料视频。在学生方：学生登录“moodle”账号后，会在首页看到本学期都选了哪些课程，及每门课程的介绍</w:t>
      </w:r>
      <w:bookmarkStart w:id="0" w:name="_Toc536"/>
      <w:r>
        <w:rPr>
          <w:rFonts w:hint="eastAsia" w:cs="宋体"/>
          <w:b w:val="0"/>
          <w:kern w:val="2"/>
          <w:sz w:val="24"/>
          <w:szCs w:val="24"/>
          <w:lang w:val="en-US" w:eastAsia="zh-CN" w:bidi="ar-SA"/>
        </w:rPr>
        <w:t>。</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300" w:afterAutospacing="0" w:line="360" w:lineRule="auto"/>
        <w:ind w:right="0" w:firstLine="723" w:firstLineChars="200"/>
        <w:jc w:val="left"/>
        <w:rPr>
          <w:rFonts w:hint="eastAsia" w:ascii="宋体" w:hAnsi="宋体" w:eastAsia="宋体" w:cs="宋体"/>
          <w:b w:val="0"/>
          <w:kern w:val="2"/>
          <w:sz w:val="24"/>
          <w:szCs w:val="24"/>
          <w:lang w:val="en-US" w:eastAsia="zh-CN" w:bidi="ar-SA"/>
        </w:rPr>
      </w:pPr>
      <w:r>
        <w:rPr>
          <w:color w:val="auto"/>
          <w:highlight w:val="none"/>
        </w:rPr>
        <w:drawing>
          <wp:inline distT="0" distB="0" distL="114300" distR="114300">
            <wp:extent cx="4506595" cy="2461260"/>
            <wp:effectExtent l="0" t="0" r="8255" b="1524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2"/>
                    <a:stretch>
                      <a:fillRect/>
                    </a:stretch>
                  </pic:blipFill>
                  <pic:spPr>
                    <a:xfrm>
                      <a:off x="0" y="0"/>
                      <a:ext cx="4506595" cy="2461260"/>
                    </a:xfrm>
                    <a:prstGeom prst="rect">
                      <a:avLst/>
                    </a:prstGeom>
                    <a:noFill/>
                    <a:ln>
                      <a:noFill/>
                    </a:ln>
                  </pic:spPr>
                </pic:pic>
              </a:graphicData>
            </a:graphic>
          </wp:inline>
        </w:drawing>
      </w:r>
      <w:bookmarkEnd w:id="0"/>
    </w:p>
    <w:p>
      <w:pPr>
        <w:jc w:val="center"/>
        <w:rPr>
          <w:rFonts w:hint="eastAsia"/>
          <w:lang w:val="en-US" w:eastAsia="zh-CN"/>
        </w:rPr>
      </w:pPr>
      <w:r>
        <w:rPr>
          <w:rFonts w:hint="eastAsia"/>
          <w:lang w:val="en-US" w:eastAsia="zh-CN"/>
        </w:rPr>
        <w:t xml:space="preserve"> moodle 学生界面</w:t>
      </w: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300" w:afterAutospacing="0" w:line="360" w:lineRule="auto"/>
        <w:ind w:left="0" w:right="0"/>
        <w:jc w:val="left"/>
        <w:rPr>
          <w:rFonts w:hint="eastAsia" w:cs="宋体"/>
          <w:b w:val="0"/>
          <w:bCs w:val="0"/>
          <w:color w:val="auto"/>
          <w:sz w:val="24"/>
          <w:szCs w:val="24"/>
          <w:lang w:val="en-US" w:eastAsia="zh-CN"/>
        </w:rPr>
      </w:pPr>
      <w:r>
        <w:rPr>
          <w:rFonts w:hint="eastAsia" w:cs="宋体"/>
          <w:b w:val="0"/>
          <w:kern w:val="2"/>
          <w:sz w:val="24"/>
          <w:szCs w:val="24"/>
          <w:lang w:val="en-US" w:eastAsia="zh-CN" w:bidi="ar-SA"/>
        </w:rPr>
        <w:t xml:space="preserve"> </w:t>
      </w:r>
      <w:r>
        <w:rPr>
          <w:rFonts w:hint="eastAsia" w:ascii="宋体" w:hAnsi="宋体" w:eastAsia="宋体" w:cs="宋体"/>
          <w:b w:val="0"/>
          <w:kern w:val="2"/>
          <w:sz w:val="24"/>
          <w:szCs w:val="24"/>
          <w:lang w:val="en-US" w:eastAsia="zh-CN" w:bidi="ar-SA"/>
        </w:rPr>
        <w:t>培养目标的</w:t>
      </w:r>
      <w:r>
        <w:rPr>
          <w:rFonts w:hint="eastAsia" w:cs="宋体"/>
          <w:b w:val="0"/>
          <w:kern w:val="2"/>
          <w:sz w:val="24"/>
          <w:szCs w:val="24"/>
          <w:lang w:val="en-US" w:eastAsia="zh-CN" w:bidi="ar-SA"/>
        </w:rPr>
        <w:t>调研</w:t>
      </w:r>
    </w:p>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cs="宋体"/>
          <w:b w:val="0"/>
          <w:bCs w:val="0"/>
          <w:color w:val="auto"/>
          <w:sz w:val="24"/>
          <w:szCs w:val="24"/>
          <w:lang w:val="en-US" w:eastAsia="zh-CN"/>
        </w:rPr>
        <w:t>跟我专业的毕业生一样，西苏</w:t>
      </w:r>
      <w:r>
        <w:rPr>
          <w:rFonts w:hint="eastAsia" w:ascii="宋体" w:hAnsi="宋体" w:eastAsia="宋体" w:cs="宋体"/>
          <w:b w:val="0"/>
          <w:bCs w:val="0"/>
          <w:color w:val="auto"/>
          <w:sz w:val="24"/>
          <w:szCs w:val="24"/>
          <w:highlight w:val="none"/>
          <w:lang w:val="en-US" w:eastAsia="zh-CN"/>
        </w:rPr>
        <w:t>计算机、工程和物理科学学院</w:t>
      </w:r>
      <w:r>
        <w:rPr>
          <w:rFonts w:hint="eastAsia" w:cs="宋体"/>
          <w:b w:val="0"/>
          <w:bCs w:val="0"/>
          <w:color w:val="auto"/>
          <w:sz w:val="24"/>
          <w:szCs w:val="24"/>
          <w:highlight w:val="none"/>
          <w:lang w:val="en-US" w:eastAsia="zh-CN"/>
        </w:rPr>
        <w:t>的人才培养也是基于毕业生培养目标完成的。具体毕业生培养目标为以下14项：</w:t>
      </w:r>
      <w:r>
        <w:rPr>
          <w:rFonts w:hint="eastAsia" w:ascii="宋体" w:hAnsi="宋体" w:eastAsia="宋体" w:cs="宋体"/>
          <w:b w:val="0"/>
          <w:bCs w:val="0"/>
          <w:color w:val="auto"/>
          <w:sz w:val="24"/>
          <w:szCs w:val="24"/>
          <w:lang w:val="en-US" w:eastAsia="zh-CN"/>
        </w:rPr>
        <w:t>1.培养学生的关键的、基于分析问题的学习技能，为毕业后就业做好准备；2.使学生终身学习、研究和探讨，并欣赏教育对于社会的价值；3.协助学生发展自主实践和团队合作所需的技能；4.了解基本的自然规律及其与土木工程和相关专业的相关性；5.培养将这种理解与观察到的信息结合起来应用于工程问题解决问题的能力；6.培养工程设计能力，欣赏设计方案的多样性；7.培养团队项目工作能力和个人项目工作能力；8.发展对建筑材料的科学、工程、性能等方面的知识和鉴赏能力；9.培养对土木工程的艺术和实践，以及土木工程行业的结构和管理的兴趣；10.培养对土木工程的艺术和实践，以及土木工程行业的结构和管理的兴趣；11.培养对项目和业务管理程序的认识；12.提高对健康和安全问题及环境问题的认识；13.使用所有认可的沟通媒介，培养清晰、准确的沟通能力；14.提高对土木工程师在社会中的地位和责任的认识。</w:t>
      </w:r>
    </w:p>
    <w:p>
      <w:pPr>
        <w:pageBreakBefore w:val="0"/>
        <w:numPr>
          <w:ilvl w:val="0"/>
          <w:numId w:val="0"/>
        </w:numPr>
        <w:kinsoku/>
        <w:wordWrap/>
        <w:overflowPunct/>
        <w:topLinePunct w:val="0"/>
        <w:autoSpaceDE/>
        <w:autoSpaceDN/>
        <w:bidi w:val="0"/>
        <w:adjustRightInd/>
        <w:snapToGrid/>
        <w:spacing w:line="300" w:lineRule="auto"/>
        <w:ind w:firstLine="480" w:firstLineChars="200"/>
        <w:jc w:val="left"/>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对培养学生核心能力的要求是分为4个方面完成的（表1所示）。具体每种要求都会体现到每门课程中。</w:t>
      </w:r>
    </w:p>
    <w:p>
      <w:pPr>
        <w:pageBreakBefore w:val="0"/>
        <w:numPr>
          <w:ilvl w:val="0"/>
          <w:numId w:val="0"/>
        </w:numPr>
        <w:kinsoku/>
        <w:wordWrap/>
        <w:overflowPunct/>
        <w:topLinePunct w:val="0"/>
        <w:autoSpaceDE/>
        <w:autoSpaceDN/>
        <w:bidi w:val="0"/>
        <w:adjustRightInd/>
        <w:snapToGrid/>
        <w:spacing w:line="300" w:lineRule="auto"/>
        <w:ind w:firstLine="480" w:firstLineChars="200"/>
        <w:jc w:val="center"/>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表1 对学生核心能力培养的4个方面</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7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tcPr>
          <w:p>
            <w:pPr>
              <w:pageBreakBefore w:val="0"/>
              <w:numPr>
                <w:ilvl w:val="0"/>
                <w:numId w:val="0"/>
              </w:numPr>
              <w:kinsoku/>
              <w:wordWrap/>
              <w:overflowPunct/>
              <w:topLinePunct w:val="0"/>
              <w:autoSpaceDE/>
              <w:autoSpaceDN/>
              <w:bidi w:val="0"/>
              <w:adjustRightInd/>
              <w:snapToGrid/>
              <w:spacing w:line="300" w:lineRule="auto"/>
              <w:jc w:val="center"/>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知识和掌握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A1</w:t>
            </w:r>
          </w:p>
        </w:tc>
        <w:tc>
          <w:tcPr>
            <w:tcW w:w="7930"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对土木工程的基本知识和原理及其基础科学和数学有一定的了解和理解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A2</w:t>
            </w:r>
          </w:p>
        </w:tc>
        <w:tc>
          <w:tcPr>
            <w:tcW w:w="7930"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基本知识和理解广泛的多学科工程背景及其基本原则，以及商业背景和工程活动的可持续性。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A3</w:t>
            </w:r>
          </w:p>
        </w:tc>
        <w:tc>
          <w:tcPr>
            <w:tcW w:w="7930"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对支撑当前相关技术的科学原理及其发展的知识和理解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A4</w:t>
            </w:r>
          </w:p>
        </w:tc>
        <w:tc>
          <w:tcPr>
            <w:tcW w:w="7930"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具备必要的数学知识和理解以支持关键工程原理的应用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2"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A5</w:t>
            </w:r>
          </w:p>
        </w:tc>
        <w:tc>
          <w:tcPr>
            <w:tcW w:w="7930" w:type="dxa"/>
          </w:tcPr>
          <w:p>
            <w:pPr>
              <w:pageBreakBefore w:val="0"/>
              <w:numPr>
                <w:ilvl w:val="0"/>
                <w:numId w:val="0"/>
              </w:numPr>
              <w:kinsoku/>
              <w:wordWrap/>
              <w:overflowPunct/>
              <w:topLinePunct w:val="0"/>
              <w:autoSpaceDE/>
              <w:autoSpaceDN/>
              <w:bidi w:val="0"/>
              <w:adjustRightInd/>
              <w:snapToGrid/>
              <w:spacing w:line="300" w:lineRule="auto"/>
              <w:textAlignment w:val="auto"/>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对相关材料、设备和工艺的使用有基本的知识和理解</w:t>
            </w:r>
          </w:p>
        </w:tc>
      </w:tr>
    </w:tbl>
    <w:p>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color w:val="auto"/>
          <w:sz w:val="24"/>
          <w:szCs w:val="24"/>
          <w:lang w:val="en-US" w:eastAsia="zh-CN"/>
        </w:rPr>
      </w:pPr>
    </w:p>
    <w:p>
      <w:pPr>
        <w:pStyle w:val="3"/>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spacing w:before="0" w:beforeAutospacing="0" w:after="300" w:afterAutospacing="0" w:line="360" w:lineRule="auto"/>
        <w:ind w:left="0" w:leftChars="0" w:right="0" w:firstLine="0" w:firstLineChars="0"/>
        <w:jc w:val="left"/>
        <w:rPr>
          <w:rFonts w:hint="eastAsia" w:cs="宋体"/>
          <w:b w:val="0"/>
          <w:kern w:val="2"/>
          <w:sz w:val="24"/>
          <w:szCs w:val="24"/>
          <w:lang w:val="en-US" w:eastAsia="zh-CN" w:bidi="ar-SA"/>
        </w:rPr>
      </w:pPr>
      <w:r>
        <w:rPr>
          <w:rFonts w:hint="eastAsia" w:cs="宋体"/>
          <w:b w:val="0"/>
          <w:kern w:val="2"/>
          <w:sz w:val="24"/>
          <w:szCs w:val="24"/>
          <w:lang w:val="en-US" w:eastAsia="zh-CN" w:bidi="ar-SA"/>
        </w:rPr>
        <w:t>其他成果</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300" w:afterAutospacing="0" w:line="360" w:lineRule="auto"/>
        <w:ind w:leftChars="0" w:right="0" w:rightChars="0" w:firstLine="480" w:firstLineChars="200"/>
        <w:jc w:val="left"/>
        <w:outlineLvl w:val="1"/>
        <w:rPr>
          <w:rFonts w:hint="eastAsia" w:cs="宋体"/>
          <w:b w:val="0"/>
          <w:kern w:val="2"/>
          <w:sz w:val="24"/>
          <w:szCs w:val="24"/>
          <w:lang w:val="en-US" w:eastAsia="zh-CN" w:bidi="ar-SA"/>
        </w:rPr>
      </w:pPr>
      <w:r>
        <w:rPr>
          <w:rFonts w:hint="eastAsia" w:ascii="宋体" w:hAnsi="宋体" w:eastAsia="宋体" w:cs="宋体"/>
          <w:b w:val="0"/>
          <w:kern w:val="2"/>
          <w:sz w:val="24"/>
          <w:szCs w:val="24"/>
          <w:lang w:val="en-US" w:eastAsia="zh-CN" w:bidi="ar-SA"/>
        </w:rPr>
        <w:t>在课余时间，</w:t>
      </w:r>
      <w:r>
        <w:rPr>
          <w:rFonts w:hint="eastAsia" w:cs="宋体"/>
          <w:b w:val="0"/>
          <w:kern w:val="2"/>
          <w:sz w:val="24"/>
          <w:szCs w:val="24"/>
          <w:lang w:val="en-US" w:eastAsia="zh-CN" w:bidi="ar-SA"/>
        </w:rPr>
        <w:t>与西苏和来自国内其他院校的教师交流，探讨教学方法和理论。</w:t>
      </w:r>
      <w:r>
        <w:rPr>
          <w:rFonts w:hint="eastAsia" w:ascii="宋体" w:hAnsi="宋体" w:eastAsia="宋体" w:cs="宋体"/>
          <w:b w:val="0"/>
          <w:kern w:val="2"/>
          <w:sz w:val="24"/>
          <w:szCs w:val="24"/>
          <w:lang w:val="en-US" w:eastAsia="zh-CN" w:bidi="ar-SA"/>
        </w:rPr>
        <w:t>对比过去西苏格兰大学的课程组织安排和我以往的教学经验，对教学方法进行了总结。发表了两篇教研论文《模块化教学在智慧课堂中应用模式研究》、《以学生核心能力为导向的培养体系研究》</w:t>
      </w:r>
      <w:r>
        <w:rPr>
          <w:rFonts w:hint="eastAsia" w:cs="宋体"/>
          <w:b w:val="0"/>
          <w:kern w:val="2"/>
          <w:sz w:val="24"/>
          <w:szCs w:val="24"/>
          <w:lang w:val="en-US" w:eastAsia="zh-CN" w:bidi="ar-SA"/>
        </w:rPr>
        <w:t>。完成两个省级教研项目的结题报告。</w:t>
      </w:r>
    </w:p>
    <w:p>
      <w:pPr>
        <w:pStyle w:val="3"/>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pacing w:before="0" w:beforeAutospacing="0" w:after="300" w:afterAutospacing="0" w:line="360" w:lineRule="auto"/>
        <w:ind w:left="0" w:right="0"/>
        <w:jc w:val="left"/>
        <w:rPr>
          <w:rFonts w:hint="eastAsia" w:cs="宋体"/>
          <w:b w:val="0"/>
          <w:kern w:val="2"/>
          <w:sz w:val="24"/>
          <w:szCs w:val="24"/>
          <w:lang w:val="en-US" w:eastAsia="zh-CN" w:bidi="ar-SA"/>
        </w:rPr>
      </w:pPr>
      <w:r>
        <w:rPr>
          <w:rFonts w:hint="eastAsia" w:cs="宋体"/>
          <w:b/>
          <w:bCs/>
          <w:kern w:val="2"/>
          <w:sz w:val="24"/>
          <w:szCs w:val="24"/>
          <w:lang w:val="en-US" w:eastAsia="zh-CN" w:bidi="ar-SA"/>
        </w:rPr>
        <w:t>科研方面</w:t>
      </w:r>
    </w:p>
    <w:p>
      <w:pPr>
        <w:pStyle w:val="3"/>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300" w:afterAutospacing="0" w:line="360" w:lineRule="auto"/>
        <w:ind w:right="0" w:rightChars="0" w:firstLine="480" w:firstLineChars="200"/>
        <w:jc w:val="left"/>
        <w:outlineLvl w:val="1"/>
        <w:rPr>
          <w:rFonts w:hint="default" w:ascii="宋体" w:hAnsi="宋体" w:eastAsia="宋体" w:cs="宋体"/>
          <w:sz w:val="24"/>
          <w:szCs w:val="24"/>
          <w:lang w:val="en-US" w:eastAsia="zh-CN"/>
        </w:rPr>
      </w:pPr>
      <w:r>
        <w:rPr>
          <w:rFonts w:hint="eastAsia" w:cs="宋体"/>
          <w:b w:val="0"/>
          <w:kern w:val="2"/>
          <w:sz w:val="24"/>
          <w:szCs w:val="24"/>
          <w:lang w:val="en-US" w:eastAsia="zh-CN" w:bidi="ar-SA"/>
        </w:rPr>
        <w:t>参加西苏大学科研讲座（新型混凝土结构、工程与自然科学），与课题组成员教学讨论。大量阅读文献的基础上，对在国内做的试验数据进行了整理，完成了二篇科研论文的撰写，一篇EI检索，一篇正在投稿期间。一项省级科研项目的结题报告。完成了一项实用新型专利和一项发明专利的申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b/>
          <w:bCs/>
          <w:sz w:val="24"/>
          <w:szCs w:val="24"/>
          <w:lang w:val="en-US" w:eastAsia="zh-CN"/>
        </w:rPr>
        <w:t>五、佩斯利校区建筑调研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佩斯利校区有很多古建筑，在设计使用之中做到了保留古建筑的历史原貌和价值的同时，能够满足现代生活的使用要求。女士街和乔治街的学生宿舍为接近百年的建筑，墙体为石砌体结构，石材为当地量产丰富的砂岩沉积岩，强度较好，但防腐蚀性能一般，热传递系数较大。墙体多分为三层，最外层为平整有序布置的面层，紧接着是碎石和小块材料组成的内层，这一层是主要承重层。最内层为小块石材砌筑。由于苏格兰地区全年阴冷多余，这样的墙体容易返潮、发霉、导热。所以有些临近海边的古代建筑，</w:t>
      </w:r>
      <w:bookmarkStart w:id="1" w:name="_GoBack"/>
      <w:bookmarkEnd w:id="1"/>
      <w:r>
        <w:rPr>
          <w:rFonts w:hint="eastAsia" w:ascii="宋体" w:hAnsi="宋体" w:eastAsia="宋体" w:cs="宋体"/>
          <w:sz w:val="24"/>
          <w:szCs w:val="24"/>
          <w:lang w:val="en-US" w:eastAsia="zh-CN"/>
        </w:rPr>
        <w:t>采用内外墙之间保留空腔层的做法。防止水分进入内墙的同时，空气层的导热系数较低，有利于保温。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633220" cy="2178050"/>
            <wp:effectExtent l="0" t="0" r="5080" b="12700"/>
            <wp:docPr id="12" name="图片 12" descr="C:/Users/ADMINI~1/AppData/Local/Temp/picturescale_20200911121716/output_20200911121717.jpgoutput_20200911121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1/AppData/Local/Temp/picturescale_20200911121716/output_20200911121717.jpgoutput_20200911121717"/>
                    <pic:cNvPicPr>
                      <a:picLocks noChangeAspect="1"/>
                    </pic:cNvPicPr>
                  </pic:nvPicPr>
                  <pic:blipFill>
                    <a:blip r:embed="rId13"/>
                    <a:stretch>
                      <a:fillRect/>
                    </a:stretch>
                  </pic:blipFill>
                  <pic:spPr>
                    <a:xfrm>
                      <a:off x="0" y="0"/>
                      <a:ext cx="1633220" cy="217805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605915" cy="2142490"/>
            <wp:effectExtent l="0" t="0" r="13335" b="10160"/>
            <wp:docPr id="8" name="图片 8" descr="C:/Users/ADMINI~1/AppData/Local/Temp/picturescale_20200911121556/output_20200911121558.jpgoutput_2020091112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1/AppData/Local/Temp/picturescale_20200911121556/output_20200911121558.jpgoutput_20200911121558"/>
                    <pic:cNvPicPr>
                      <a:picLocks noChangeAspect="1"/>
                    </pic:cNvPicPr>
                  </pic:nvPicPr>
                  <pic:blipFill>
                    <a:blip r:embed="rId14"/>
                    <a:stretch>
                      <a:fillRect/>
                    </a:stretch>
                  </pic:blipFill>
                  <pic:spPr>
                    <a:xfrm>
                      <a:off x="0" y="0"/>
                      <a:ext cx="1605915" cy="214249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val="en-US" w:eastAsia="zh-CN"/>
        </w:rPr>
        <w:drawing>
          <wp:inline distT="0" distB="0" distL="114300" distR="114300">
            <wp:extent cx="1614170" cy="2153920"/>
            <wp:effectExtent l="0" t="0" r="5080" b="17780"/>
            <wp:docPr id="17" name="图片 17" descr="C:/Users/ADMINI~1/AppData/Local/Temp/picturescale_20200911122150/output_20200911122151.jpgoutput_2020091112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1/AppData/Local/Temp/picturescale_20200911122150/output_20200911122151.jpgoutput_20200911122151"/>
                    <pic:cNvPicPr>
                      <a:picLocks noChangeAspect="1"/>
                    </pic:cNvPicPr>
                  </pic:nvPicPr>
                  <pic:blipFill>
                    <a:blip r:embed="rId15"/>
                    <a:stretch>
                      <a:fillRect/>
                    </a:stretch>
                  </pic:blipFill>
                  <pic:spPr>
                    <a:xfrm>
                      <a:off x="0" y="0"/>
                      <a:ext cx="1614170" cy="215392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sz w:val="24"/>
          <w:szCs w:val="24"/>
          <w:lang w:val="en-US" w:eastAsia="zh-CN"/>
        </w:rPr>
      </w:pPr>
      <w:r>
        <w:rPr>
          <w:rFonts w:hint="eastAsia" w:ascii="宋体" w:hAnsi="宋体" w:eastAsia="宋体" w:cs="宋体"/>
          <w:sz w:val="24"/>
          <w:szCs w:val="24"/>
          <w:lang w:val="en-US" w:eastAsia="zh-CN"/>
        </w:rPr>
        <w:t xml:space="preserve">乔治街建筑外观               墙体立面细节    </w:t>
      </w:r>
      <w:r>
        <w:rPr>
          <w:rFonts w:hint="eastAsia"/>
          <w:sz w:val="24"/>
          <w:szCs w:val="24"/>
          <w:lang w:val="en-US" w:eastAsia="zh-CN"/>
        </w:rPr>
        <w:t xml:space="preserve">             墙体断面</w:t>
      </w:r>
    </w:p>
    <w:p>
      <w:pPr>
        <w:numPr>
          <w:ilvl w:val="0"/>
          <w:numId w:val="0"/>
        </w:numPr>
        <w:spacing w:line="360" w:lineRule="auto"/>
        <w:ind w:leftChars="0" w:firstLine="480" w:firstLineChars="200"/>
        <w:jc w:val="left"/>
        <w:rPr>
          <w:rFonts w:hint="eastAsia"/>
          <w:sz w:val="24"/>
          <w:szCs w:val="24"/>
          <w:lang w:val="en-US" w:eastAsia="zh-CN"/>
        </w:rPr>
      </w:pPr>
      <w:r>
        <w:rPr>
          <w:rFonts w:hint="eastAsia"/>
          <w:sz w:val="24"/>
          <w:szCs w:val="24"/>
          <w:lang w:val="en-US" w:eastAsia="zh-CN"/>
        </w:rPr>
        <w:t>现代化建筑多采用装配式施工方式，工期短、污染小。内部设计注重特殊人群使用设备，在楼梯口都设有便利设备。防火分区划分细致，大量采用防火门，且每周进行防火警报检测。取暖、生活能源多为电力能源，清洁有效，有利于减少空气污染。建筑设计充分考虑特殊人群的需要，在楼梯处都设有便利设施。</w:t>
      </w:r>
    </w:p>
    <w:p>
      <w:pPr>
        <w:numPr>
          <w:ilvl w:val="0"/>
          <w:numId w:val="0"/>
        </w:numPr>
        <w:spacing w:line="360" w:lineRule="auto"/>
        <w:jc w:val="left"/>
        <w:rPr>
          <w:rFonts w:hint="eastAsia"/>
          <w:sz w:val="24"/>
          <w:szCs w:val="24"/>
          <w:lang w:val="en-US" w:eastAsia="zh-CN"/>
        </w:rPr>
      </w:pPr>
      <w:r>
        <w:rPr>
          <w:rFonts w:hint="eastAsia"/>
          <w:sz w:val="24"/>
          <w:szCs w:val="24"/>
          <w:lang w:val="en-US" w:eastAsia="zh-CN"/>
        </w:rPr>
        <w:drawing>
          <wp:inline distT="0" distB="0" distL="114300" distR="114300">
            <wp:extent cx="2288540" cy="1717675"/>
            <wp:effectExtent l="0" t="0" r="16510" b="15875"/>
            <wp:docPr id="19" name="图片 19" descr="3749225885382450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749225885382450891"/>
                    <pic:cNvPicPr>
                      <a:picLocks noChangeAspect="1"/>
                    </pic:cNvPicPr>
                  </pic:nvPicPr>
                  <pic:blipFill>
                    <a:blip r:embed="rId16"/>
                    <a:stretch>
                      <a:fillRect/>
                    </a:stretch>
                  </pic:blipFill>
                  <pic:spPr>
                    <a:xfrm>
                      <a:off x="0" y="0"/>
                      <a:ext cx="2288540" cy="1717675"/>
                    </a:xfrm>
                    <a:prstGeom prst="rect">
                      <a:avLst/>
                    </a:prstGeom>
                  </pic:spPr>
                </pic:pic>
              </a:graphicData>
            </a:graphic>
          </wp:inline>
        </w:drawing>
      </w:r>
      <w:r>
        <w:rPr>
          <w:rFonts w:hint="eastAsia"/>
          <w:sz w:val="24"/>
          <w:szCs w:val="24"/>
          <w:lang w:val="en-US" w:eastAsia="zh-CN"/>
        </w:rPr>
        <w:t xml:space="preserve">    </w:t>
      </w:r>
      <w:r>
        <w:rPr>
          <w:rFonts w:hint="eastAsia"/>
          <w:sz w:val="24"/>
          <w:szCs w:val="24"/>
          <w:lang w:val="en-US" w:eastAsia="zh-CN"/>
        </w:rPr>
        <w:drawing>
          <wp:inline distT="0" distB="0" distL="114300" distR="114300">
            <wp:extent cx="1286510" cy="1717040"/>
            <wp:effectExtent l="0" t="0" r="8890" b="16510"/>
            <wp:docPr id="4" name="图片 4" descr="66553619434907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65536194349077611"/>
                    <pic:cNvPicPr>
                      <a:picLocks noChangeAspect="1"/>
                    </pic:cNvPicPr>
                  </pic:nvPicPr>
                  <pic:blipFill>
                    <a:blip r:embed="rId17"/>
                    <a:stretch>
                      <a:fillRect/>
                    </a:stretch>
                  </pic:blipFill>
                  <pic:spPr>
                    <a:xfrm>
                      <a:off x="0" y="0"/>
                      <a:ext cx="1286510" cy="1717040"/>
                    </a:xfrm>
                    <a:prstGeom prst="rect">
                      <a:avLst/>
                    </a:prstGeom>
                  </pic:spPr>
                </pic:pic>
              </a:graphicData>
            </a:graphic>
          </wp:inline>
        </w:drawing>
      </w:r>
      <w:r>
        <w:rPr>
          <w:rFonts w:hint="eastAsia"/>
          <w:sz w:val="24"/>
          <w:szCs w:val="24"/>
          <w:lang w:val="en-US" w:eastAsia="zh-CN"/>
        </w:rPr>
        <w:drawing>
          <wp:inline distT="0" distB="0" distL="114300" distR="114300">
            <wp:extent cx="1290320" cy="1722120"/>
            <wp:effectExtent l="0" t="0" r="5080" b="11430"/>
            <wp:docPr id="5" name="图片 5" descr="16226025960693090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226025960693090162"/>
                    <pic:cNvPicPr>
                      <a:picLocks noChangeAspect="1"/>
                    </pic:cNvPicPr>
                  </pic:nvPicPr>
                  <pic:blipFill>
                    <a:blip r:embed="rId18"/>
                    <a:stretch>
                      <a:fillRect/>
                    </a:stretch>
                  </pic:blipFill>
                  <pic:spPr>
                    <a:xfrm flipH="1">
                      <a:off x="0" y="0"/>
                      <a:ext cx="1290320" cy="1722120"/>
                    </a:xfrm>
                    <a:prstGeom prst="rect">
                      <a:avLst/>
                    </a:prstGeom>
                  </pic:spPr>
                </pic:pic>
              </a:graphicData>
            </a:graphic>
          </wp:inline>
        </w:drawing>
      </w:r>
    </w:p>
    <w:p>
      <w:pPr>
        <w:numPr>
          <w:ilvl w:val="0"/>
          <w:numId w:val="0"/>
        </w:numPr>
        <w:spacing w:line="360" w:lineRule="auto"/>
        <w:ind w:leftChars="0" w:firstLine="480" w:firstLineChars="200"/>
        <w:jc w:val="left"/>
        <w:rPr>
          <w:rFonts w:hint="default"/>
          <w:sz w:val="24"/>
          <w:szCs w:val="24"/>
          <w:lang w:val="en-US" w:eastAsia="zh-CN"/>
        </w:rPr>
      </w:pPr>
      <w:r>
        <w:rPr>
          <w:rFonts w:hint="eastAsia"/>
          <w:sz w:val="24"/>
          <w:szCs w:val="24"/>
          <w:lang w:val="en-US" w:eastAsia="zh-CN"/>
        </w:rPr>
        <w:t xml:space="preserve">活动中心装配式墙体和屋面                       楼梯处便利设施 </w:t>
      </w:r>
    </w:p>
    <w:p>
      <w:pPr>
        <w:numPr>
          <w:ilvl w:val="0"/>
          <w:numId w:val="0"/>
        </w:numPr>
        <w:spacing w:line="360" w:lineRule="auto"/>
        <w:ind w:leftChars="0"/>
        <w:rPr>
          <w:rFonts w:hint="eastAsia"/>
          <w:b/>
          <w:bCs/>
          <w:sz w:val="24"/>
          <w:szCs w:val="24"/>
          <w:lang w:val="en-US" w:eastAsia="zh-CN"/>
        </w:rPr>
      </w:pPr>
    </w:p>
    <w:p>
      <w:pPr>
        <w:numPr>
          <w:ilvl w:val="0"/>
          <w:numId w:val="0"/>
        </w:numPr>
        <w:spacing w:line="360" w:lineRule="auto"/>
        <w:ind w:leftChars="0"/>
        <w:rPr>
          <w:rFonts w:hint="eastAsia"/>
          <w:b/>
          <w:bCs/>
          <w:sz w:val="24"/>
          <w:szCs w:val="24"/>
          <w:lang w:val="en-US" w:eastAsia="zh-CN"/>
        </w:rPr>
      </w:pPr>
      <w:r>
        <w:rPr>
          <w:rFonts w:hint="eastAsia"/>
          <w:b/>
          <w:bCs/>
          <w:sz w:val="24"/>
          <w:szCs w:val="24"/>
          <w:lang w:val="en-US" w:eastAsia="zh-CN"/>
        </w:rPr>
        <w:t>六、生活的总结</w:t>
      </w:r>
    </w:p>
    <w:p>
      <w:pPr>
        <w:numPr>
          <w:ilvl w:val="0"/>
          <w:numId w:val="0"/>
        </w:numPr>
        <w:spacing w:line="360" w:lineRule="auto"/>
        <w:ind w:firstLine="480" w:firstLineChars="200"/>
        <w:jc w:val="left"/>
        <w:rPr>
          <w:rFonts w:hint="eastAsia"/>
          <w:sz w:val="24"/>
          <w:szCs w:val="24"/>
          <w:lang w:val="en-US" w:eastAsia="zh-CN"/>
        </w:rPr>
      </w:pPr>
      <w:r>
        <w:rPr>
          <w:rFonts w:hint="eastAsia"/>
          <w:sz w:val="24"/>
          <w:szCs w:val="24"/>
          <w:lang w:val="en-US" w:eastAsia="zh-CN"/>
        </w:rPr>
        <w:t>参加了彭斯日遇上中国年活动，了解到罗伯特·彭斯( Robert Burns)是苏格兰有史以来最杰出的农民诗人。他的诗作反映了以美国独立革命、法国大革命为标志的民主民族革命的浪潮，出色地抒写了苏格兰农民的思想和感情，具有很高的认识意义和艺术价值。他是马克思喜爱的诗人之一。通过交流活动了解了苏格兰文化中的节日习俗。</w:t>
      </w:r>
    </w:p>
    <w:p>
      <w:pPr>
        <w:numPr>
          <w:ilvl w:val="0"/>
          <w:numId w:val="0"/>
        </w:numPr>
        <w:spacing w:line="360" w:lineRule="auto"/>
        <w:jc w:val="center"/>
        <w:rPr>
          <w:rFonts w:hint="eastAsia"/>
          <w:sz w:val="24"/>
          <w:szCs w:val="24"/>
          <w:lang w:val="en-US" w:eastAsia="zh-CN"/>
        </w:rPr>
      </w:pPr>
      <w:r>
        <w:rPr>
          <w:rFonts w:hint="eastAsia"/>
          <w:sz w:val="24"/>
          <w:szCs w:val="24"/>
          <w:lang w:val="en-US" w:eastAsia="zh-CN"/>
        </w:rPr>
        <w:drawing>
          <wp:inline distT="0" distB="0" distL="114300" distR="114300">
            <wp:extent cx="2781300" cy="1301750"/>
            <wp:effectExtent l="0" t="0" r="0" b="12700"/>
            <wp:docPr id="3" name="图片 3" descr="544310588581270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544310588581270694"/>
                    <pic:cNvPicPr>
                      <a:picLocks noChangeAspect="1"/>
                    </pic:cNvPicPr>
                  </pic:nvPicPr>
                  <pic:blipFill>
                    <a:blip r:embed="rId19"/>
                    <a:stretch>
                      <a:fillRect/>
                    </a:stretch>
                  </pic:blipFill>
                  <pic:spPr>
                    <a:xfrm>
                      <a:off x="0" y="0"/>
                      <a:ext cx="2781300" cy="1301750"/>
                    </a:xfrm>
                    <a:prstGeom prst="rect">
                      <a:avLst/>
                    </a:prstGeom>
                  </pic:spPr>
                </pic:pic>
              </a:graphicData>
            </a:graphic>
          </wp:inline>
        </w:drawing>
      </w:r>
    </w:p>
    <w:p>
      <w:pPr>
        <w:numPr>
          <w:ilvl w:val="0"/>
          <w:numId w:val="0"/>
        </w:numPr>
        <w:spacing w:line="360" w:lineRule="auto"/>
        <w:jc w:val="center"/>
        <w:rPr>
          <w:rFonts w:hint="eastAsia"/>
          <w:sz w:val="24"/>
          <w:szCs w:val="24"/>
          <w:lang w:val="en-US" w:eastAsia="zh-CN"/>
        </w:rPr>
      </w:pPr>
      <w:r>
        <w:rPr>
          <w:rFonts w:hint="eastAsia"/>
          <w:sz w:val="24"/>
          <w:szCs w:val="24"/>
          <w:lang w:val="en-US" w:eastAsia="zh-CN"/>
        </w:rPr>
        <w:t>中国年活动</w:t>
      </w:r>
    </w:p>
    <w:p>
      <w:pPr>
        <w:numPr>
          <w:ilvl w:val="0"/>
          <w:numId w:val="0"/>
        </w:numPr>
        <w:spacing w:line="360" w:lineRule="auto"/>
        <w:jc w:val="left"/>
        <w:rPr>
          <w:rFonts w:hint="eastAsia"/>
          <w:sz w:val="24"/>
          <w:szCs w:val="24"/>
          <w:lang w:val="en-US" w:eastAsia="zh-CN"/>
        </w:rPr>
      </w:pPr>
      <w:r>
        <w:rPr>
          <w:rFonts w:hint="eastAsia"/>
          <w:sz w:val="24"/>
          <w:szCs w:val="24"/>
          <w:lang w:val="en-US" w:eastAsia="zh-CN"/>
        </w:rPr>
        <w:t xml:space="preserve">    在驻英大使馆教育处的支持下，和很多访英学者一同发表《群英“烩”——中国访英学者抗疫日记》，在神州学人公众号发表。</w:t>
      </w:r>
    </w:p>
    <w:p>
      <w:pPr>
        <w:numPr>
          <w:ilvl w:val="0"/>
          <w:numId w:val="0"/>
        </w:numPr>
        <w:spacing w:line="360" w:lineRule="auto"/>
        <w:jc w:val="left"/>
        <w:rPr>
          <w:rFonts w:hint="default"/>
          <w:sz w:val="24"/>
          <w:szCs w:val="24"/>
          <w:lang w:val="en-US" w:eastAsia="zh-CN"/>
        </w:rPr>
      </w:pPr>
      <w:r>
        <w:rPr>
          <w:rFonts w:hint="eastAsia"/>
          <w:sz w:val="24"/>
          <w:szCs w:val="24"/>
          <w:lang w:val="en-US" w:eastAsia="zh-CN"/>
        </w:rPr>
        <w:t xml:space="preserve">    疫情期间收到来自祖国学校和驻英国大使馆的关心和慰问，我谨记校领导嘱托，工作学习之余积极锻炼身体，以昂扬的精神面貌度过疫情高峰期。</w:t>
      </w:r>
    </w:p>
    <w:p>
      <w:pPr>
        <w:numPr>
          <w:ilvl w:val="0"/>
          <w:numId w:val="0"/>
        </w:numPr>
        <w:spacing w:line="360" w:lineRule="auto"/>
        <w:ind w:leftChars="0"/>
        <w:rPr>
          <w:rFonts w:hint="eastAsia"/>
          <w:sz w:val="24"/>
          <w:szCs w:val="24"/>
          <w:lang w:val="en-US" w:eastAsia="zh-CN"/>
        </w:rPr>
      </w:pPr>
    </w:p>
    <w:p>
      <w:pPr>
        <w:numPr>
          <w:ilvl w:val="0"/>
          <w:numId w:val="0"/>
        </w:numPr>
        <w:spacing w:line="360" w:lineRule="auto"/>
        <w:ind w:leftChars="0"/>
        <w:rPr>
          <w:rFonts w:hint="eastAsia"/>
          <w:b/>
          <w:bCs/>
          <w:sz w:val="24"/>
          <w:szCs w:val="24"/>
          <w:lang w:val="en-US" w:eastAsia="zh-CN"/>
        </w:rPr>
      </w:pPr>
      <w:r>
        <w:rPr>
          <w:rFonts w:hint="eastAsia"/>
          <w:b/>
          <w:bCs/>
          <w:sz w:val="24"/>
          <w:szCs w:val="24"/>
          <w:lang w:val="en-US" w:eastAsia="zh-CN"/>
        </w:rPr>
        <w:t>七、结语</w:t>
      </w:r>
    </w:p>
    <w:p>
      <w:pPr>
        <w:numPr>
          <w:ilvl w:val="0"/>
          <w:numId w:val="0"/>
        </w:numPr>
        <w:spacing w:line="360" w:lineRule="auto"/>
        <w:ind w:leftChars="0" w:firstLine="480"/>
        <w:rPr>
          <w:rFonts w:hint="eastAsia"/>
          <w:sz w:val="24"/>
          <w:szCs w:val="24"/>
          <w:lang w:val="en-US" w:eastAsia="zh-CN"/>
        </w:rPr>
      </w:pPr>
      <w:r>
        <w:rPr>
          <w:rFonts w:hint="eastAsia"/>
          <w:sz w:val="24"/>
          <w:szCs w:val="24"/>
          <w:lang w:val="en-US" w:eastAsia="zh-CN"/>
        </w:rPr>
        <w:t>虽然这次访学，一半的时间在校园内访学交流，一半的时间是在宿舍在网上学习。但是，无论从教学、科研，还是对生活的乐观积极的态度上，对我都是质的飞跃。在和祖国一起经历了一场史无前例的考验之后，我更加热爱我的祖国，更加明白生活和工作的意义。</w:t>
      </w: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rPr>
          <w:rFonts w:hint="default"/>
          <w:b/>
          <w:bCs/>
          <w:sz w:val="24"/>
          <w:szCs w:val="24"/>
          <w:lang w:val="en-US" w:eastAsia="zh-CN"/>
        </w:rPr>
      </w:pPr>
      <w:r>
        <w:rPr>
          <w:rFonts w:hint="eastAsia"/>
          <w:b/>
          <w:bCs/>
          <w:sz w:val="24"/>
          <w:szCs w:val="24"/>
          <w:lang w:val="en-US" w:eastAsia="zh-CN"/>
        </w:rPr>
        <w:t>八、致谢</w:t>
      </w:r>
    </w:p>
    <w:p>
      <w:pPr>
        <w:numPr>
          <w:ilvl w:val="0"/>
          <w:numId w:val="0"/>
        </w:numPr>
        <w:spacing w:line="360" w:lineRule="auto"/>
        <w:ind w:leftChars="0" w:firstLine="480"/>
        <w:rPr>
          <w:rFonts w:hint="eastAsia"/>
          <w:sz w:val="24"/>
          <w:szCs w:val="24"/>
          <w:lang w:val="en-US" w:eastAsia="zh-CN"/>
        </w:rPr>
      </w:pPr>
      <w:r>
        <w:rPr>
          <w:rFonts w:hint="eastAsia"/>
          <w:sz w:val="24"/>
          <w:szCs w:val="24"/>
          <w:lang w:val="en-US" w:eastAsia="zh-CN"/>
        </w:rPr>
        <w:t>感谢学校给予我这次学习的机会，让我有更广阔的科研视野、更丰富的教学体会、更积极的生活态度。感谢疫情期间对我们关心、帮助的领导和老师们，这份温暖将会一直鼓舞着我们，砥砺前行。</w:t>
      </w: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firstLine="480"/>
        <w:rPr>
          <w:rFonts w:hint="default"/>
          <w:sz w:val="24"/>
          <w:szCs w:val="24"/>
          <w:lang w:val="en-US" w:eastAsia="zh-CN"/>
        </w:rPr>
      </w:pPr>
    </w:p>
    <w:p>
      <w:pPr>
        <w:numPr>
          <w:ilvl w:val="0"/>
          <w:numId w:val="0"/>
        </w:numPr>
        <w:spacing w:line="360" w:lineRule="auto"/>
        <w:ind w:leftChars="0" w:firstLine="480"/>
        <w:rPr>
          <w:rFonts w:hint="default"/>
          <w:sz w:val="24"/>
          <w:szCs w:val="24"/>
          <w:lang w:val="en-US" w:eastAsia="zh-CN"/>
        </w:rPr>
      </w:pPr>
      <w:r>
        <w:rPr>
          <w:rFonts w:hint="default"/>
          <w:sz w:val="24"/>
          <w:szCs w:val="24"/>
          <w:lang w:val="en-US" w:eastAsia="zh-CN"/>
        </w:rPr>
        <w:drawing>
          <wp:inline distT="0" distB="0" distL="114300" distR="114300">
            <wp:extent cx="5273040" cy="7325360"/>
            <wp:effectExtent l="0" t="0" r="3810" b="8890"/>
            <wp:docPr id="14" name="图片 14" descr="C:/Users/ADMINI~1/AppData/Local/Temp/picturescale_20200914175618/output_20200914175620.pngoutput_2020091417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picturescale_20200914175618/output_20200914175620.pngoutput_20200914175620"/>
                    <pic:cNvPicPr>
                      <a:picLocks noChangeAspect="1"/>
                    </pic:cNvPicPr>
                  </pic:nvPicPr>
                  <pic:blipFill>
                    <a:blip r:embed="rId20"/>
                    <a:stretch>
                      <a:fillRect/>
                    </a:stretch>
                  </pic:blipFill>
                  <pic:spPr>
                    <a:xfrm>
                      <a:off x="0" y="0"/>
                      <a:ext cx="5273040" cy="7325360"/>
                    </a:xfrm>
                    <a:prstGeom prst="rect">
                      <a:avLst/>
                    </a:prstGeom>
                  </pic:spPr>
                </pic:pic>
              </a:graphicData>
            </a:graphic>
          </wp:inline>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7Kn4U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CjsqfhQCAAAVBAAADgAAAAAAAAAB&#10;ACAAAAAfAQAAZHJzL2Uyb0RvYy54bWxQSwUGAAAAAAYABgBZAQAApQU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6FABDEF"/>
    <w:multiLevelType w:val="singleLevel"/>
    <w:tmpl w:val="86FABDEF"/>
    <w:lvl w:ilvl="0" w:tentative="0">
      <w:start w:val="4"/>
      <w:numFmt w:val="chineseCounting"/>
      <w:suff w:val="nothing"/>
      <w:lvlText w:val="%1．"/>
      <w:lvlJc w:val="left"/>
      <w:rPr>
        <w:rFonts w:hint="eastAsia"/>
      </w:rPr>
    </w:lvl>
  </w:abstractNum>
  <w:abstractNum w:abstractNumId="1">
    <w:nsid w:val="1E8494DD"/>
    <w:multiLevelType w:val="singleLevel"/>
    <w:tmpl w:val="1E8494DD"/>
    <w:lvl w:ilvl="0" w:tentative="0">
      <w:start w:val="2"/>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5612CF0"/>
    <w:rsid w:val="150E4F64"/>
    <w:rsid w:val="199A39D2"/>
    <w:rsid w:val="1C0A145E"/>
    <w:rsid w:val="1FCE68A4"/>
    <w:rsid w:val="213C7A1A"/>
    <w:rsid w:val="22D45E46"/>
    <w:rsid w:val="29FB54BD"/>
    <w:rsid w:val="2F430E33"/>
    <w:rsid w:val="3BED41CF"/>
    <w:rsid w:val="414E3E37"/>
    <w:rsid w:val="476B2325"/>
    <w:rsid w:val="4A617A13"/>
    <w:rsid w:val="4EC259F6"/>
    <w:rsid w:val="57CF17B9"/>
    <w:rsid w:val="58235557"/>
    <w:rsid w:val="5EB52FC5"/>
    <w:rsid w:val="656B5097"/>
    <w:rsid w:val="66F041C9"/>
    <w:rsid w:val="6CF13760"/>
    <w:rsid w:val="6D187326"/>
    <w:rsid w:val="79E101CC"/>
    <w:rsid w:val="7A7914EB"/>
    <w:rsid w:val="7F0C005B"/>
    <w:rsid w:val="7FAC77E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0"/>
    <w:pPr>
      <w:spacing w:before="100" w:beforeAutospacing="1" w:after="100" w:afterAutospacing="1"/>
      <w:jc w:val="left"/>
      <w:outlineLvl w:val="2"/>
    </w:pPr>
    <w:rPr>
      <w:rFonts w:hint="eastAsia" w:ascii="宋体" w:hAnsi="宋体" w:eastAsia="宋体" w:cs="宋体"/>
      <w:b/>
      <w:kern w:val="0"/>
      <w:sz w:val="30"/>
      <w:szCs w:val="27"/>
      <w:lang w:bidi="ar"/>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Body text|1"/>
    <w:basedOn w:val="1"/>
    <w:link w:val="11"/>
    <w:unhideWhenUsed/>
    <w:qFormat/>
    <w:uiPriority w:val="0"/>
    <w:pPr>
      <w:spacing w:beforeLines="0" w:afterLines="0" w:line="415" w:lineRule="auto"/>
    </w:pPr>
    <w:rPr>
      <w:rFonts w:hint="eastAsia"/>
      <w:b/>
      <w:sz w:val="20"/>
    </w:rPr>
  </w:style>
  <w:style w:type="character" w:customStyle="1" w:styleId="11">
    <w:name w:val="Body text|1_"/>
    <w:basedOn w:val="9"/>
    <w:link w:val="10"/>
    <w:unhideWhenUsed/>
    <w:qFormat/>
    <w:uiPriority w:val="0"/>
    <w:rPr>
      <w:rFonts w:hint="eastAsia"/>
      <w:b/>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乙萱</cp:lastModifiedBy>
  <dcterms:modified xsi:type="dcterms:W3CDTF">2020-10-14T08:09:04Z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